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2"/>
        <w:spacing w:before="200" w:after="120"/>
        <w:rPr/>
      </w:pPr>
      <w:bookmarkStart w:id="0" w:name="__DdeLink__2_82409677"/>
      <w:bookmarkEnd w:id="0"/>
      <w:r>
        <w:rPr/>
        <w:t>Информация по строительству объектов жилья и водоснабжения</w:t>
      </w:r>
    </w:p>
    <w:p>
      <w:pPr>
        <w:pStyle w:val="Style17"/>
        <w:rPr/>
      </w:pPr>
      <w:r>
        <w:rPr/>
        <w:t>План строительства жилья на 2014 год составляет 9 892 квадратных метра из них:</w:t>
      </w:r>
    </w:p>
    <w:p>
      <w:pPr>
        <w:pStyle w:val="Style17"/>
        <w:numPr>
          <w:ilvl w:val="0"/>
          <w:numId w:val="1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5700 кв. метра — за счет средств населения; </w:t>
      </w:r>
    </w:p>
    <w:p>
      <w:pPr>
        <w:pStyle w:val="Style17"/>
        <w:numPr>
          <w:ilvl w:val="0"/>
          <w:numId w:val="1"/>
        </w:numPr>
        <w:tabs>
          <w:tab w:val="left" w:pos="0" w:leader="none"/>
        </w:tabs>
        <w:ind w:left="707" w:hanging="283"/>
        <w:rPr/>
      </w:pPr>
      <w:r>
        <w:rPr/>
        <w:t xml:space="preserve">4192 кв. метра — 50-ти квартирный жилой дом по Программе «Доступное жилье 2020». </w:t>
      </w:r>
    </w:p>
    <w:p>
      <w:pPr>
        <w:pStyle w:val="Style17"/>
        <w:rPr/>
      </w:pPr>
      <w:r>
        <w:rPr/>
        <w:t>За январь-ноябрь 2014 года введено 5961 кв.м. за счет населения.</w:t>
      </w:r>
    </w:p>
    <w:p>
      <w:pPr>
        <w:pStyle w:val="Style17"/>
        <w:rPr/>
      </w:pPr>
      <w:r>
        <w:rPr/>
        <w:t>За январь-ноябрь 2013 года ввод жилья составил 6784 кв.м., за счет населения.</w:t>
      </w:r>
    </w:p>
    <w:p>
      <w:pPr>
        <w:pStyle w:val="Style17"/>
        <w:rPr/>
      </w:pPr>
      <w:r>
        <w:rPr/>
        <w:t>По сравнению с прошлым годом ввод жилья составил 87,8%.</w:t>
      </w:r>
    </w:p>
    <w:p>
      <w:pPr>
        <w:pStyle w:val="Style17"/>
        <w:rPr/>
      </w:pPr>
      <w:r>
        <w:rPr/>
        <w:t>В декабре планируется сдача 50-ти кв. жилого дома в городе Тайынша, общей площадью 4192 кв. метра.</w:t>
      </w:r>
    </w:p>
    <w:p>
      <w:pPr>
        <w:pStyle w:val="Style17"/>
        <w:rPr/>
      </w:pPr>
      <w:r>
        <w:rPr>
          <w:rStyle w:val="Style14"/>
        </w:rPr>
        <w:t>50-ти квартирный жилой дом</w:t>
      </w:r>
    </w:p>
    <w:p>
      <w:pPr>
        <w:pStyle w:val="Style17"/>
        <w:rPr/>
      </w:pPr>
      <w:r>
        <w:rPr/>
        <w:t>В 2013 году начато строительство 50-ти квартирного жилого дома в городе Тайынша, ул. Конституции Казахстана, 164 по программе «Доступное жилье-2020».</w:t>
      </w:r>
    </w:p>
    <w:p>
      <w:pPr>
        <w:pStyle w:val="Style17"/>
        <w:rPr/>
      </w:pPr>
      <w:r>
        <w:rPr/>
        <w:t>Заказчик — отдел строительства, архитектуры и градостроительства.</w:t>
      </w:r>
    </w:p>
    <w:p>
      <w:pPr>
        <w:pStyle w:val="Style17"/>
        <w:rPr/>
      </w:pPr>
      <w:r>
        <w:rPr/>
        <w:t>Договор заключен с ТОО «Строй-Реконструкция» (г. Астана).</w:t>
      </w:r>
    </w:p>
    <w:p>
      <w:pPr>
        <w:pStyle w:val="Style17"/>
        <w:rPr/>
      </w:pPr>
      <w:r>
        <w:rPr/>
        <w:t>Общая сметная стоимость строительства в текущих ценах 2013 года — 337,717 млн. тенге.</w:t>
      </w:r>
    </w:p>
    <w:p>
      <w:pPr>
        <w:pStyle w:val="Style17"/>
        <w:rPr/>
      </w:pPr>
      <w:r>
        <w:rPr/>
        <w:t>На 2013 год выделено 40 000 тысяч тенге, из них освоено — 8 974,0 тысяч тенге, что составило 22,4%.</w:t>
      </w:r>
    </w:p>
    <w:p>
      <w:pPr>
        <w:pStyle w:val="Style17"/>
        <w:rPr/>
      </w:pPr>
      <w:r>
        <w:rPr>
          <w:rStyle w:val="Style14"/>
        </w:rPr>
        <w:t>На 2014 год:</w:t>
      </w:r>
    </w:p>
    <w:p>
      <w:pPr>
        <w:pStyle w:val="Style17"/>
        <w:rPr/>
      </w:pPr>
      <w:r>
        <w:rPr/>
        <w:t>Республиканский бюджет — 181 254,0 тыс. тенге.</w:t>
      </w:r>
    </w:p>
    <w:p>
      <w:pPr>
        <w:pStyle w:val="Style17"/>
        <w:rPr/>
      </w:pPr>
      <w:r>
        <w:rPr/>
        <w:t>Областной бюджет — 99 002,0 тыс. тенге.</w:t>
      </w:r>
    </w:p>
    <w:p>
      <w:pPr>
        <w:pStyle w:val="Style17"/>
        <w:rPr/>
      </w:pPr>
      <w:r>
        <w:rPr>
          <w:rStyle w:val="Style14"/>
        </w:rPr>
        <w:t>Освоение средств на 1.12. 2014 года составляет:</w:t>
      </w:r>
    </w:p>
    <w:p>
      <w:pPr>
        <w:pStyle w:val="Style17"/>
        <w:numPr>
          <w:ilvl w:val="0"/>
          <w:numId w:val="2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из республиканского бюджета — 158 958,0 тыс. тенге; </w:t>
      </w:r>
    </w:p>
    <w:p>
      <w:pPr>
        <w:pStyle w:val="Style17"/>
        <w:numPr>
          <w:ilvl w:val="0"/>
          <w:numId w:val="2"/>
        </w:numPr>
        <w:tabs>
          <w:tab w:val="left" w:pos="0" w:leader="none"/>
        </w:tabs>
        <w:ind w:left="707" w:hanging="283"/>
        <w:rPr/>
      </w:pPr>
      <w:r>
        <w:rPr/>
        <w:t xml:space="preserve">из местного бюджета — 103 611,7 тыс. тенге. </w:t>
      </w:r>
    </w:p>
    <w:p>
      <w:pPr>
        <w:pStyle w:val="Style17"/>
        <w:rPr/>
      </w:pPr>
      <w:r>
        <w:rPr/>
        <w:t>В настоящее время выполняются оставшиеся санитарно-технические работы, завершается монтаж отмосток, крыльца, производится чистовая отделка.</w:t>
      </w:r>
    </w:p>
    <w:p>
      <w:pPr>
        <w:pStyle w:val="Style17"/>
        <w:rPr/>
      </w:pPr>
      <w:r>
        <w:rPr/>
        <w:t>Срок ввода в эксплуатацию — 1 декабря 2014 года.</w:t>
      </w:r>
    </w:p>
    <w:p>
      <w:pPr>
        <w:pStyle w:val="Style17"/>
        <w:rPr/>
      </w:pPr>
      <w:r>
        <w:rPr/>
        <w:t>В связи с отставанием от графика работ, не освоением выделенных денежных средств, срывом срока завершения работ по строительству жилого дома по Программе «Доступное жилье 2020» 2 декабря 2014 года нами подано исковое заявление о признании ТОО «Строй-Реконструкция» недобросовестным участником государственных закупок.</w:t>
      </w:r>
    </w:p>
    <w:p>
      <w:pPr>
        <w:pStyle w:val="Style17"/>
        <w:rPr/>
      </w:pPr>
      <w:r>
        <w:rPr/>
        <w:t>В декабре подрядчиком предоставлен промежуточный акт выполненных работ за декабрь на сумму 29 741,2 тысяч тенге.</w:t>
      </w:r>
    </w:p>
    <w:p>
      <w:pPr>
        <w:pStyle w:val="Style17"/>
        <w:rPr/>
      </w:pPr>
      <w:r>
        <w:rPr/>
        <w:t>Остаток средств до конца года составляет — 5 259,8 тысяч тенге.</w:t>
      </w:r>
    </w:p>
    <w:p>
      <w:pPr>
        <w:pStyle w:val="Style17"/>
        <w:rPr/>
      </w:pPr>
      <w:r>
        <w:rPr>
          <w:rStyle w:val="Style14"/>
        </w:rPr>
        <w:t>Инженерные сети к 50-ти квартирному жилому дому</w:t>
      </w:r>
    </w:p>
    <w:p>
      <w:pPr>
        <w:pStyle w:val="Style17"/>
        <w:rPr/>
      </w:pPr>
      <w:r>
        <w:rPr/>
        <w:t>Управлением строительства проведен конкурс посредством электронных закупок на строительство наружных сетей и благоустройства к 50-квартирному жилому дому в г. Тайынша, ул. Конституции Казахстана, 164.</w:t>
      </w:r>
    </w:p>
    <w:p>
      <w:pPr>
        <w:pStyle w:val="Style17"/>
        <w:rPr/>
      </w:pPr>
      <w:r>
        <w:rPr/>
        <w:t>Общая сметная стоимость строительства в текущих ценах 2013 года — 116,5 млн. тенге.</w:t>
      </w:r>
    </w:p>
    <w:p>
      <w:pPr>
        <w:pStyle w:val="Style17"/>
        <w:rPr/>
      </w:pPr>
      <w:r>
        <w:rPr/>
        <w:t>Подрядчик ТОО «Алтын-Тау-НЧ».</w:t>
      </w:r>
    </w:p>
    <w:p>
      <w:pPr>
        <w:pStyle w:val="Style17"/>
        <w:rPr/>
      </w:pPr>
      <w:r>
        <w:rPr/>
        <w:t>Заключен договор с ТОО «Алтын-Тау-НЧ» на сумму 113, 9 млн. тенге.</w:t>
      </w:r>
    </w:p>
    <w:p>
      <w:pPr>
        <w:pStyle w:val="Style17"/>
        <w:rPr/>
      </w:pPr>
      <w:r>
        <w:rPr>
          <w:rStyle w:val="Style14"/>
        </w:rPr>
        <w:t>На 2014 год выделено на строительство:</w:t>
      </w:r>
    </w:p>
    <w:p>
      <w:pPr>
        <w:pStyle w:val="Style17"/>
        <w:rPr/>
      </w:pPr>
      <w:r>
        <w:rPr/>
        <w:t>Республиканский бюджет — 104, 2 млн. тенге.</w:t>
      </w:r>
    </w:p>
    <w:p>
      <w:pPr>
        <w:pStyle w:val="Style17"/>
        <w:rPr/>
      </w:pPr>
      <w:r>
        <w:rPr/>
        <w:t>Местный бюджет — 9,6 млн. тенге.</w:t>
      </w:r>
    </w:p>
    <w:p>
      <w:pPr>
        <w:pStyle w:val="Style17"/>
        <w:rPr/>
      </w:pPr>
      <w:r>
        <w:rPr>
          <w:rStyle w:val="Style14"/>
        </w:rPr>
        <w:t>Освоение средств на 1.12. 2014 года:</w:t>
      </w:r>
    </w:p>
    <w:p>
      <w:pPr>
        <w:pStyle w:val="Style17"/>
        <w:numPr>
          <w:ilvl w:val="0"/>
          <w:numId w:val="3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из республиканского бюджета — 84 775,5 тыс. тенге; </w:t>
      </w:r>
    </w:p>
    <w:p>
      <w:pPr>
        <w:pStyle w:val="Style17"/>
        <w:numPr>
          <w:ilvl w:val="0"/>
          <w:numId w:val="3"/>
        </w:numPr>
        <w:tabs>
          <w:tab w:val="left" w:pos="0" w:leader="none"/>
        </w:tabs>
        <w:ind w:left="707" w:hanging="283"/>
        <w:rPr/>
      </w:pPr>
      <w:r>
        <w:rPr/>
        <w:t xml:space="preserve">из местного бюджета — 116, 2 тыс. тенге. </w:t>
      </w:r>
    </w:p>
    <w:p>
      <w:pPr>
        <w:pStyle w:val="Style17"/>
        <w:rPr/>
      </w:pPr>
      <w:r>
        <w:rPr/>
        <w:t>Проведена рабочая комиссия по приемке инженерных сетей к 50-ти квартирному жилому дому.</w:t>
      </w:r>
    </w:p>
    <w:p>
      <w:pPr>
        <w:pStyle w:val="Style17"/>
        <w:rPr/>
      </w:pPr>
      <w:r>
        <w:rPr/>
        <w:t>Выявлены незначительные недоделки, которые направлены подрядчику для их устранения. Идет процесс подготовки для проведения государственной приемочной комиссии.</w:t>
      </w:r>
    </w:p>
    <w:p>
      <w:pPr>
        <w:pStyle w:val="Style17"/>
        <w:rPr/>
      </w:pPr>
      <w:r>
        <w:rPr/>
        <w:t>Срок ввода в эксплуатацию — 1 декабря 2014 года.</w:t>
      </w:r>
    </w:p>
    <w:p>
      <w:pPr>
        <w:pStyle w:val="Style17"/>
        <w:rPr/>
      </w:pPr>
      <w:r>
        <w:rPr/>
        <w:t>В декабре 2014 года произведена оплата в сумме 20 853,8 тысяч тенге.</w:t>
      </w:r>
    </w:p>
    <w:p>
      <w:pPr>
        <w:pStyle w:val="Style17"/>
        <w:jc w:val="center"/>
        <w:rPr/>
      </w:pPr>
      <w:r>
        <w:rPr>
          <w:rStyle w:val="Style14"/>
        </w:rPr>
        <w:t>Водоснабжение</w:t>
      </w:r>
    </w:p>
    <w:p>
      <w:pPr>
        <w:pStyle w:val="Style17"/>
        <w:rPr/>
      </w:pPr>
      <w:r>
        <w:rPr/>
        <w:t>В июле 2014 года Управлением строительства СКО объявлен электронный конкурс на реконструкцию разводящих сетей, водоводов и отводов сельских населенных пунктов, подключенных к Булаевскому групповому водопроводу в селах Чермошнянка и Тихоокеанское Тайыншинского района Северо-Казахстанской области».</w:t>
      </w:r>
    </w:p>
    <w:p>
      <w:pPr>
        <w:pStyle w:val="Style17"/>
        <w:rPr/>
      </w:pPr>
      <w:r>
        <w:rPr/>
        <w:t>Победитель по лоту № 1 (с. Тихоокеанское) — ТОО Инсект»</w:t>
      </w:r>
    </w:p>
    <w:p>
      <w:pPr>
        <w:pStyle w:val="Style17"/>
        <w:rPr/>
      </w:pPr>
      <w:r>
        <w:rPr/>
        <w:t>Победитель по лоту № 2 (с. Чермошнянка) — ТОО «Севимсталькон»</w:t>
      </w:r>
    </w:p>
    <w:p>
      <w:pPr>
        <w:pStyle w:val="Style17"/>
        <w:rPr/>
      </w:pPr>
      <w:r>
        <w:rPr/>
        <w:t>На разводящие сети села Чермошнянка выделены денежные средства:</w:t>
      </w:r>
    </w:p>
    <w:p>
      <w:pPr>
        <w:pStyle w:val="Style17"/>
        <w:rPr/>
      </w:pPr>
      <w:r>
        <w:rPr/>
        <w:t>на 2014 год:</w:t>
      </w:r>
    </w:p>
    <w:p>
      <w:pPr>
        <w:pStyle w:val="Style17"/>
        <w:numPr>
          <w:ilvl w:val="0"/>
          <w:numId w:val="4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из республиканского бюджета — 90,0 млн. тенге; </w:t>
      </w:r>
    </w:p>
    <w:p>
      <w:pPr>
        <w:pStyle w:val="Style17"/>
        <w:numPr>
          <w:ilvl w:val="0"/>
          <w:numId w:val="4"/>
        </w:numPr>
        <w:tabs>
          <w:tab w:val="left" w:pos="0" w:leader="none"/>
        </w:tabs>
        <w:ind w:left="707" w:hanging="283"/>
        <w:rPr/>
      </w:pPr>
      <w:r>
        <w:rPr/>
        <w:t xml:space="preserve">из областного бюджета — 10,0 млн. тенге. </w:t>
      </w:r>
    </w:p>
    <w:p>
      <w:pPr>
        <w:pStyle w:val="Style17"/>
        <w:rPr/>
      </w:pPr>
      <w:r>
        <w:rPr>
          <w:rStyle w:val="Style14"/>
        </w:rPr>
        <w:t>Освоено средств на 1.12.2014 года:</w:t>
      </w:r>
    </w:p>
    <w:p>
      <w:pPr>
        <w:pStyle w:val="Style17"/>
        <w:numPr>
          <w:ilvl w:val="0"/>
          <w:numId w:val="5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из республиканского бюджета — 45 000,0 тыс. тенге; </w:t>
      </w:r>
    </w:p>
    <w:p>
      <w:pPr>
        <w:pStyle w:val="Style17"/>
        <w:numPr>
          <w:ilvl w:val="0"/>
          <w:numId w:val="5"/>
        </w:numPr>
        <w:tabs>
          <w:tab w:val="left" w:pos="0" w:leader="none"/>
        </w:tabs>
        <w:ind w:left="707" w:hanging="283"/>
        <w:rPr/>
      </w:pPr>
      <w:r>
        <w:rPr/>
        <w:t xml:space="preserve">из местного бюджета — 5 298,4 тыс. тенге. </w:t>
      </w:r>
    </w:p>
    <w:p>
      <w:pPr>
        <w:pStyle w:val="Style17"/>
        <w:rPr/>
      </w:pPr>
      <w:r>
        <w:rPr/>
        <w:t>В декабре подрядчиком предоставлен акт выполненных работ за декабрь на сумму 48 174,3 тысяч тенге.</w:t>
      </w:r>
    </w:p>
    <w:p>
      <w:pPr>
        <w:pStyle w:val="Style17"/>
        <w:rPr/>
      </w:pPr>
      <w:r>
        <w:rPr/>
        <w:t>Протяженность — 16,3 км.</w:t>
      </w:r>
    </w:p>
    <w:p>
      <w:pPr>
        <w:pStyle w:val="Style17"/>
        <w:rPr/>
      </w:pPr>
      <w:r>
        <w:rPr/>
        <w:t>На разводящие сети села Тихоокеанское выделены денежные средства:</w:t>
      </w:r>
    </w:p>
    <w:p>
      <w:pPr>
        <w:pStyle w:val="Style17"/>
        <w:rPr/>
      </w:pPr>
      <w:r>
        <w:rPr/>
        <w:t>на 2014 год:</w:t>
      </w:r>
    </w:p>
    <w:p>
      <w:pPr>
        <w:pStyle w:val="Style17"/>
        <w:numPr>
          <w:ilvl w:val="0"/>
          <w:numId w:val="6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из республиканского бюджета — 76 788,0 млн. тенге; </w:t>
      </w:r>
    </w:p>
    <w:p>
      <w:pPr>
        <w:pStyle w:val="Style17"/>
        <w:numPr>
          <w:ilvl w:val="0"/>
          <w:numId w:val="6"/>
        </w:numPr>
        <w:tabs>
          <w:tab w:val="left" w:pos="0" w:leader="none"/>
        </w:tabs>
        <w:ind w:left="707" w:hanging="283"/>
        <w:rPr/>
      </w:pPr>
      <w:r>
        <w:rPr/>
        <w:t xml:space="preserve">из областного бюджета — 8 532,0 млн. тенге. </w:t>
      </w:r>
    </w:p>
    <w:p>
      <w:pPr>
        <w:pStyle w:val="Style17"/>
        <w:rPr/>
      </w:pPr>
      <w:r>
        <w:rPr>
          <w:rStyle w:val="Style14"/>
        </w:rPr>
        <w:t>Освоено средств на 1.12.2014 года:</w:t>
      </w:r>
    </w:p>
    <w:p>
      <w:pPr>
        <w:pStyle w:val="Style17"/>
        <w:numPr>
          <w:ilvl w:val="0"/>
          <w:numId w:val="7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из республиканского бюджета — 46 073,0 тыс. тенге; </w:t>
      </w:r>
    </w:p>
    <w:p>
      <w:pPr>
        <w:pStyle w:val="Style17"/>
        <w:numPr>
          <w:ilvl w:val="0"/>
          <w:numId w:val="7"/>
        </w:numPr>
        <w:tabs>
          <w:tab w:val="left" w:pos="0" w:leader="none"/>
        </w:tabs>
        <w:ind w:left="707" w:hanging="283"/>
        <w:rPr/>
      </w:pPr>
      <w:r>
        <w:rPr/>
        <w:t xml:space="preserve">из местного бюджета — 6 520,7 тыс. тенге. </w:t>
      </w:r>
    </w:p>
    <w:p>
      <w:pPr>
        <w:pStyle w:val="Style17"/>
        <w:rPr/>
      </w:pPr>
      <w:r>
        <w:rPr/>
        <w:t>11 декабря 2014 года произведена оплата на сумму 31815,7 тысяч тенге.</w:t>
      </w:r>
    </w:p>
    <w:p>
      <w:pPr>
        <w:pStyle w:val="Style17"/>
        <w:rPr/>
      </w:pPr>
      <w:r>
        <w:rPr/>
        <w:t>Протяженность — 10, 2 км.</w:t>
      </w:r>
    </w:p>
    <w:p>
      <w:pPr>
        <w:pStyle w:val="Style17"/>
        <w:rPr/>
      </w:pPr>
      <w:r>
        <w:rPr/>
        <w:t>По Чермошнянке — 10,5 км водопровода демонтировано.</w:t>
      </w:r>
    </w:p>
    <w:p>
      <w:pPr>
        <w:pStyle w:val="Style17"/>
        <w:rPr/>
      </w:pPr>
      <w:r>
        <w:rPr/>
        <w:t>По Тихоокеанскому — 7,05 км демонтировано, а также установка резервуара, строительство КПП, насосной станции.</w:t>
      </w:r>
    </w:p>
    <w:p>
      <w:pPr>
        <w:pStyle w:val="Style17"/>
        <w:jc w:val="center"/>
        <w:rPr/>
      </w:pPr>
      <w:r>
        <w:rPr>
          <w:rStyle w:val="Style14"/>
        </w:rPr>
        <w:t>Разработка ПСД на строительство Дома культуры, школы, электролиний в городеТайынша</w:t>
      </w:r>
    </w:p>
    <w:p>
      <w:pPr>
        <w:pStyle w:val="Style17"/>
        <w:rPr/>
      </w:pPr>
      <w:r>
        <w:rPr/>
        <w:t>Изготовлены проектно-сметные документации по следующим объектам:</w:t>
      </w:r>
    </w:p>
    <w:p>
      <w:pPr>
        <w:pStyle w:val="Style17"/>
        <w:numPr>
          <w:ilvl w:val="0"/>
          <w:numId w:val="8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Style14"/>
        </w:rPr>
        <w:t xml:space="preserve">«Строиельство дома культуры на 300 мест в городе Тайынша Тайыншинского района Северо-Казахстанской области». </w:t>
      </w:r>
      <w:r>
        <w:rPr/>
        <w:t xml:space="preserve">Проекту выдано положительное экспертное заключение № 17-0261/14 от 11 ноября 2014 года, на общую сумму строительно-монтажных работ 634,426 млн. тенге. </w:t>
      </w:r>
    </w:p>
    <w:p>
      <w:pPr>
        <w:pStyle w:val="Style17"/>
        <w:numPr>
          <w:ilvl w:val="0"/>
          <w:numId w:val="8"/>
        </w:numPr>
        <w:tabs>
          <w:tab w:val="left" w:pos="0" w:leader="none"/>
        </w:tabs>
        <w:spacing w:before="0" w:after="0"/>
        <w:ind w:left="707" w:hanging="283"/>
        <w:rPr/>
      </w:pPr>
      <w:r>
        <w:rPr>
          <w:rStyle w:val="Style14"/>
        </w:rPr>
        <w:t xml:space="preserve">«Строительство школы на 300 мест в г. Тайынша по ул. Конституции Казахстана, 255 А Тайыншинского района Северо-Казахстанской области». </w:t>
      </w:r>
      <w:r>
        <w:rPr/>
        <w:t xml:space="preserve">Проекту выдано положительное экспертное заключение № 17-0248/14 от 24 октября 2014 года, на общую сумму строительно-монтажных работ 991,574 млн. тенге. </w:t>
      </w:r>
    </w:p>
    <w:p>
      <w:pPr>
        <w:pStyle w:val="Style17"/>
        <w:numPr>
          <w:ilvl w:val="0"/>
          <w:numId w:val="8"/>
        </w:numPr>
        <w:tabs>
          <w:tab w:val="left" w:pos="0" w:leader="none"/>
        </w:tabs>
        <w:ind w:left="707" w:hanging="283"/>
        <w:rPr/>
      </w:pPr>
      <w:r>
        <w:rPr>
          <w:rStyle w:val="Style14"/>
        </w:rPr>
        <w:t>«Строительство электролиний освещения в городе Тайынша по улице Пролетарская и пер. Центральный».</w:t>
      </w:r>
      <w:r>
        <w:rPr/>
        <w:t xml:space="preserve"> Проекту выдано положительное экспертное заключение № 17-0272/14 от 28 ноября 2014 года, на общую сумму строительно-монтажных работ 17,261 млн. тенге. </w:t>
      </w:r>
    </w:p>
    <w:p>
      <w:pPr>
        <w:pStyle w:val="Style17"/>
        <w:jc w:val="center"/>
        <w:rPr/>
      </w:pPr>
      <w:r>
        <w:rPr>
          <w:rStyle w:val="Style14"/>
        </w:rPr>
        <w:t>Разработка генерального плана и детальной планировки города Тайынша</w:t>
      </w:r>
    </w:p>
    <w:p>
      <w:pPr>
        <w:pStyle w:val="Style17"/>
        <w:rPr/>
      </w:pPr>
      <w:r>
        <w:rPr/>
        <w:t>Разработан генеральный план города Тайынша и детальной планировки. Договор заключен на сумму 8 847,0 млн. тенге.</w:t>
      </w:r>
    </w:p>
    <w:p>
      <w:pPr>
        <w:pStyle w:val="Style17"/>
        <w:rPr/>
      </w:pPr>
      <w:r>
        <w:rPr/>
        <w:t>Проектировщик ТОО «Готика» (г. Петропавловск).</w:t>
      </w:r>
    </w:p>
    <w:p>
      <w:pPr>
        <w:pStyle w:val="Style17"/>
        <w:rPr/>
      </w:pPr>
      <w:r>
        <w:rPr/>
        <w:t>Объем строительных работ за январь-ноябрь 2014 года составил:</w:t>
      </w:r>
    </w:p>
    <w:p>
      <w:pPr>
        <w:pStyle w:val="Style17"/>
        <w:numPr>
          <w:ilvl w:val="0"/>
          <w:numId w:val="9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январь — 0 млн. тенге </w:t>
      </w:r>
    </w:p>
    <w:p>
      <w:pPr>
        <w:pStyle w:val="Style17"/>
        <w:numPr>
          <w:ilvl w:val="0"/>
          <w:numId w:val="9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февраль — 29,7 млн. тенге </w:t>
      </w:r>
    </w:p>
    <w:p>
      <w:pPr>
        <w:pStyle w:val="Style17"/>
        <w:numPr>
          <w:ilvl w:val="0"/>
          <w:numId w:val="9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март — 28,9 млн. тенге </w:t>
      </w:r>
    </w:p>
    <w:p>
      <w:pPr>
        <w:pStyle w:val="Style17"/>
        <w:numPr>
          <w:ilvl w:val="0"/>
          <w:numId w:val="9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апрель — 29,5 млн. тенге </w:t>
      </w:r>
    </w:p>
    <w:p>
      <w:pPr>
        <w:pStyle w:val="Style17"/>
        <w:numPr>
          <w:ilvl w:val="0"/>
          <w:numId w:val="9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май — 111,4 млн. тенге </w:t>
      </w:r>
    </w:p>
    <w:p>
      <w:pPr>
        <w:pStyle w:val="Style17"/>
        <w:numPr>
          <w:ilvl w:val="0"/>
          <w:numId w:val="9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июнь — 692,3 млн. тенге </w:t>
      </w:r>
    </w:p>
    <w:p>
      <w:pPr>
        <w:pStyle w:val="Style17"/>
        <w:numPr>
          <w:ilvl w:val="0"/>
          <w:numId w:val="9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июль — 1 454,9 млн. тенге </w:t>
      </w:r>
    </w:p>
    <w:p>
      <w:pPr>
        <w:pStyle w:val="Style17"/>
        <w:numPr>
          <w:ilvl w:val="0"/>
          <w:numId w:val="9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август — 1 287,9 млн. тенге </w:t>
      </w:r>
    </w:p>
    <w:p>
      <w:pPr>
        <w:pStyle w:val="Style17"/>
        <w:numPr>
          <w:ilvl w:val="0"/>
          <w:numId w:val="9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сентябрь — 1 960,3 млн. тенге </w:t>
      </w:r>
    </w:p>
    <w:p>
      <w:pPr>
        <w:pStyle w:val="Style17"/>
        <w:numPr>
          <w:ilvl w:val="0"/>
          <w:numId w:val="9"/>
        </w:numPr>
        <w:tabs>
          <w:tab w:val="left" w:pos="0" w:leader="none"/>
        </w:tabs>
        <w:spacing w:before="0" w:after="0"/>
        <w:ind w:left="707" w:hanging="283"/>
        <w:rPr/>
      </w:pPr>
      <w:r>
        <w:rPr/>
        <w:t xml:space="preserve">октябрь — 2300,6 млн. тенге </w:t>
      </w:r>
    </w:p>
    <w:p>
      <w:pPr>
        <w:pStyle w:val="Style17"/>
        <w:numPr>
          <w:ilvl w:val="0"/>
          <w:numId w:val="9"/>
        </w:numPr>
        <w:tabs>
          <w:tab w:val="left" w:pos="0" w:leader="none"/>
        </w:tabs>
        <w:ind w:left="707" w:hanging="283"/>
        <w:rPr/>
      </w:pPr>
      <w:r>
        <w:rPr/>
        <w:t xml:space="preserve">ноябрь — (-8,1 млн. тенге снижение) </w:t>
      </w:r>
    </w:p>
    <w:p>
      <w:pPr>
        <w:pStyle w:val="Style17"/>
        <w:rPr/>
      </w:pPr>
      <w:r>
        <w:rPr/>
        <w:t>Итого за 11 месяцев 2014 года 7 887,4 млн. тенге, что составило 174,4% к прошлому 2013 года.</w:t>
      </w:r>
    </w:p>
    <w:p>
      <w:pPr>
        <w:pStyle w:val="Style17"/>
        <w:jc w:val="right"/>
        <w:rPr/>
      </w:pPr>
      <w:r>
        <w:rPr>
          <w:rStyle w:val="Style14"/>
        </w:rPr>
        <w:t>И.о. руководителя</w:t>
        <w:br/>
        <w:t>отдела строительства,</w:t>
        <w:br/>
        <w:t>архитектуры и градостроительства Е. Мухамеджанов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02"/>
    <w:family w:val="auto"/>
    <w:pitch w:val="default"/>
  </w:font>
  <w:font w:name="Arial">
    <w:charset w:val="cc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  <w:rPr/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  <w:rPr/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  <w:rPr/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  <w:rPr/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  <w:rPr/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  <w:rPr/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  <w:rPr/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  <w:rPr/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  <w:rPr/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0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6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4"/>
        <w:szCs w:val="24"/>
        <w:lang w:val="en-US" w:eastAsia="en-US" w:bidi="en-US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sz w:val="24"/>
      <w:szCs w:val="24"/>
      <w:lang w:val="zxx" w:eastAsia="zxx" w:bidi="zxx"/>
    </w:rPr>
  </w:style>
  <w:style w:type="paragraph" w:styleId="2">
    <w:name w:val="Заголовок 2"/>
    <w:basedOn w:val="Style16"/>
    <w:next w:val="Style17"/>
    <w:pPr>
      <w:spacing w:before="200" w:after="120"/>
      <w:outlineLvl w:val="1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Style13">
    <w:name w:val="Маркеры списка"/>
    <w:qFormat/>
    <w:rPr>
      <w:rFonts w:ascii="OpenSymbol" w:hAnsi="OpenSymbol" w:eastAsia="OpenSymbol" w:cs="OpenSymbol"/>
    </w:rPr>
  </w:style>
  <w:style w:type="character" w:styleId="Style14">
    <w:name w:val="Выделение жирным"/>
    <w:rPr>
      <w:b/>
      <w:bCs/>
    </w:rPr>
  </w:style>
  <w:style w:type="character" w:styleId="Style15">
    <w:name w:val="Символ нумерации"/>
    <w:qFormat/>
    <w:rPr/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Style17">
    <w:name w:val="Основной текст"/>
    <w:basedOn w:val="Normal"/>
    <w:pPr>
      <w:spacing w:before="0" w:after="120"/>
    </w:pPr>
    <w:rPr/>
  </w:style>
  <w:style w:type="paragraph" w:styleId="Style18">
    <w:name w:val="Список"/>
    <w:basedOn w:val="Style17"/>
    <w:pPr/>
    <w:rPr>
      <w:rFonts w:cs="Tahoma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52</TotalTime>
  <Application>LibreOffice/4.4.1.2$Windows_x86 LibreOffice_project/45e2de17089c24a1fa810c8f975a7171ba4cd432</Application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language>ru-RU</dc:language>
  <dcterms:modified xsi:type="dcterms:W3CDTF">2017-06-02T11:06:20Z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